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62610" cy="9036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41" r="-6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городского  округа  Красноуральск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восьмого созыва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>
      <w:pPr>
        <w:pStyle w:val="Normal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057900" cy="0"/>
                <wp:effectExtent l="0" t="11430" r="635" b="1143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22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35pt" to="476.95pt,7.35pt" ID="Фигура1" stroked="t" o:allowincell="f" style="position:absolute">
                <v:stroke color="black" weight="2232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057900" cy="0"/>
                <wp:effectExtent l="0" t="5080" r="635" b="508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5pt" to="476.95pt,10.5pt" ID="Фигура2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cs="Times New Roman" w:ascii="Times New Roman" w:hAnsi="Times New Roman"/>
          <w:sz w:val="16"/>
          <w:szCs w:val="16"/>
          <w:lang w:val="ru-RU" w:eastAsia="ru-RU"/>
        </w:rPr>
        <w:t xml:space="preserve">     </w:t>
      </w:r>
    </w:p>
    <w:p>
      <w:pPr>
        <w:pStyle w:val="Style22"/>
        <w:spacing w:lineRule="auto" w:line="276"/>
        <w:rPr/>
      </w:pP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от  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>22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апреля 2024 года  № 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>115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>город Красноуральск</w:t>
      </w:r>
    </w:p>
    <w:p>
      <w:pPr>
        <w:pStyle w:val="ConsTitle"/>
        <w:widowControl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решение Думы городского округа Красноуральск от 15 декабря 2023 года № 100 «О бюджете городского округа Красноуральск на 2024 год и плановый период 2025 и 2026 годов» </w:t>
      </w:r>
    </w:p>
    <w:p>
      <w:pPr>
        <w:pStyle w:val="ConsTitle"/>
        <w:widowControl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ConsTitle"/>
        <w:widowControl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uppressAutoHyphens w:val="false"/>
        <w:autoSpaceDE w:val="false"/>
        <w:jc w:val="both"/>
        <w:rPr/>
      </w:pPr>
      <w:r>
        <w:rPr>
          <w:b/>
          <w:sz w:val="25"/>
          <w:szCs w:val="25"/>
        </w:rPr>
        <w:tab/>
      </w:r>
      <w:r>
        <w:rPr>
          <w:sz w:val="26"/>
          <w:szCs w:val="26"/>
        </w:rPr>
        <w:t>В соответствии с Бюджетным кодексом Российской Федерации, Положением о бюджетном процессе в городском округе Красноуральск, утвержденным решением Думы городского округа Красноуральск от 24 марта 2022 года № 373, постановлением администрации городского округа Красноуральск от 28 марта 2024 года № 417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15 декабря 2023 года № 100 «О бюджете городского округа Красноуральск на 2024 год и плановый период 2025 и 2026 годов», руководствуясь статьей 23 Устава городского округа Красноуральск, Дума городского округа Красноуральск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РЕШИЛА: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both"/>
        <w:outlineLvl w:val="1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 w:val="false"/>
          <w:sz w:val="26"/>
          <w:szCs w:val="26"/>
        </w:rPr>
        <w:t>1. Внести в решение Думы городского округа Красноуральск от 15 декабря 2023 года № 100 «О бюджете городского округа Красноуральск на 2024 год и плановый период 2025 и 2026 годов» (с изменениями, внесенными решением Думы городского округа Красноуральск от 22 января 2024 года № 105) (далее - решение), следующие изменения: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both"/>
        <w:outlineLvl w:val="1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 w:val="false"/>
          <w:sz w:val="26"/>
          <w:szCs w:val="26"/>
        </w:rPr>
        <w:t>1) в абзаце втором подпункта 1 пункта 1 решения число «1 642 697 603,30» заменить числом «1 892 803 347,88», число «1 136 507 895,00» заменить числом «1 249 122 456,55»;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both"/>
        <w:outlineLvl w:val="1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 w:val="false"/>
          <w:sz w:val="26"/>
          <w:szCs w:val="26"/>
        </w:rPr>
        <w:t>2) в абзаце третьем подпункта 1 пункта 1 решения число «1 469 598 760,50» заменить числом «1 485 246 360,50», число «1 008 219 600,00» заменить числом «1 023 867 200,00»;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both"/>
        <w:outlineLvl w:val="1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 w:val="false"/>
          <w:sz w:val="26"/>
          <w:szCs w:val="26"/>
        </w:rPr>
        <w:t>3) в абзаце четвертом подпункта 1 пункта 1 решения число «1 425 590 904,00» заменить числом «1 441 076 704,00», число «890 289 600,00» заменить числом «905 775 400,00»;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uppressAutoHyphens w:val="true"/>
        <w:autoSpaceDE w:val="false"/>
        <w:bidi w:val="0"/>
        <w:spacing w:before="120" w:after="0"/>
        <w:ind w:hanging="0" w:left="0" w:right="0"/>
        <w:jc w:val="both"/>
        <w:outlineLvl w:val="1"/>
        <w:rPr/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b w:val="false"/>
          <w:sz w:val="26"/>
          <w:szCs w:val="26"/>
        </w:rPr>
        <w:t>4) в абзаце втором подпункта 2 пункта 1 решения число «1 725 730 375,52» заменить числом «1 975 836 120,10»;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both"/>
        <w:outlineLvl w:val="1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b w:val="false"/>
          <w:sz w:val="26"/>
          <w:szCs w:val="26"/>
        </w:rPr>
        <w:t>5) в абзаце третьем подпункта 2 пункта 1 решения число «1 375 786 974,85» заменить числом «1 407 885 208,99»;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35" w:leader="none"/>
        </w:tabs>
        <w:spacing w:before="120" w:after="0"/>
        <w:jc w:val="both"/>
        <w:outlineLvl w:val="1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b w:val="false"/>
          <w:sz w:val="26"/>
          <w:szCs w:val="26"/>
        </w:rPr>
        <w:t>6) в абзаце четвертом подпункта 2 пункта 1 решения число «1 344 954 975,16» заменить числом «1 371 770 315,06»;</w:t>
      </w:r>
    </w:p>
    <w:p>
      <w:pPr>
        <w:pStyle w:val="ConsPlusNormal"/>
        <w:widowControl/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7) в абзаце третьем подпункта 4 пункта 1 решения число «93 811 785,65» заменить числом «77 361 151,51»;</w:t>
      </w:r>
    </w:p>
    <w:p>
      <w:pPr>
        <w:pStyle w:val="ConsPlusNormal"/>
        <w:widowControl/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8) в абзаце четвертом подпункта 4 пункта 1 решения число «80 635 928,84» заменить числом «69 306 388,94»;</w:t>
      </w:r>
    </w:p>
    <w:p>
      <w:pPr>
        <w:pStyle w:val="ConsPlusNormal"/>
        <w:widowControl/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9) в абзаце втором подпункта 9 пункта 2 решения число «100 734 030,59» заменить числом «142 955 261,15»;</w:t>
      </w:r>
    </w:p>
    <w:p>
      <w:pPr>
        <w:pStyle w:val="ConsPlusNormal"/>
        <w:widowControl/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10) в абзаце втором подпункта 2 пункта 3 решения число «99 740 600,00» заменить числом «109 271 264,41»;</w:t>
      </w:r>
    </w:p>
    <w:p>
      <w:pPr>
        <w:pStyle w:val="ConsPlusNormal"/>
        <w:widowControl/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11) в абзаце третьем подпункта 3 пункта 3 решения число «13 320 600,00» заменить числом «57 851 264,41»;</w:t>
      </w:r>
    </w:p>
    <w:p>
      <w:pPr>
        <w:pStyle w:val="ConsPlusNormal"/>
        <w:widowControl/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12) подпункт 8 пункта 3 решения дополнить абзацем пятым следующего содержания:</w:t>
      </w:r>
    </w:p>
    <w:p>
      <w:pPr>
        <w:pStyle w:val="Normal"/>
        <w:autoSpaceDE w:val="false"/>
        <w:jc w:val="both"/>
        <w:rPr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«необходимости уменьшения бюджетных ассигнований на исполнение муниципальных гарантий городского округа Красноуральск за счет средств местного бюджета в связи с предоставлением из областного бюджета </w:t>
      </w:r>
      <w:r>
        <w:rPr>
          <w:sz w:val="26"/>
          <w:szCs w:val="26"/>
          <w:lang w:eastAsia="ru-RU"/>
        </w:rPr>
        <w:t>иных межбюджетных трансфертов на организацию электро-, тепло-, газо- и водоснабжения, водоотведения, снабжения населения топливом на сумму, не превышающую объем предоставленного иного межбюджетного трансферта;</w:t>
      </w:r>
      <w:r>
        <w:rPr>
          <w:sz w:val="26"/>
          <w:szCs w:val="26"/>
        </w:rPr>
        <w:t>»;</w:t>
      </w:r>
    </w:p>
    <w:p>
      <w:pPr>
        <w:pStyle w:val="Style25"/>
        <w:ind w:firstLine="737" w:right="0"/>
        <w:jc w:val="both"/>
        <w:rPr>
          <w:sz w:val="26"/>
          <w:szCs w:val="26"/>
        </w:rPr>
      </w:pPr>
      <w:r>
        <w:rPr>
          <w:sz w:val="26"/>
          <w:szCs w:val="26"/>
        </w:rPr>
        <w:t>13) подпункт 8.1 пункта 3 решения изложить в новой редакции:</w:t>
      </w:r>
    </w:p>
    <w:p>
      <w:pPr>
        <w:pStyle w:val="Style25"/>
        <w:ind w:firstLine="737" w:right="0"/>
        <w:jc w:val="both"/>
        <w:rPr>
          <w:sz w:val="26"/>
          <w:szCs w:val="26"/>
        </w:rPr>
      </w:pPr>
      <w:r>
        <w:rPr>
          <w:sz w:val="26"/>
          <w:szCs w:val="26"/>
        </w:rPr>
        <w:t>«8.1)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пунктом 2 настоящего решения бюджетных ассигнований:</w:t>
      </w:r>
    </w:p>
    <w:p>
      <w:pPr>
        <w:pStyle w:val="Style25"/>
        <w:ind w:firstLine="737" w:right="0"/>
        <w:jc w:val="both"/>
        <w:rPr>
          <w:sz w:val="26"/>
          <w:szCs w:val="26"/>
        </w:rPr>
      </w:pPr>
      <w:r>
        <w:rPr>
          <w:sz w:val="26"/>
          <w:szCs w:val="26"/>
        </w:rPr>
        <w:t>на благоустройство дворовых территорий многоквартирных домов в рамках реализации инициативных проектов в объеме 1 215 999,91 рублей на 2024 год;</w:t>
      </w:r>
    </w:p>
    <w:p>
      <w:pPr>
        <w:pStyle w:val="Style25"/>
        <w:ind w:firstLine="737" w:right="0"/>
        <w:jc w:val="both"/>
        <w:rPr>
          <w:sz w:val="26"/>
          <w:szCs w:val="26"/>
        </w:rPr>
      </w:pPr>
      <w:r>
        <w:rPr>
          <w:sz w:val="26"/>
          <w:szCs w:val="26"/>
        </w:rPr>
        <w:t>на ремонт дворовых территорий многоквартирных домов, проездов к дворовым территориям многоквартирных домов в рамках реализации инициативных проектов в объеме 9 000 000,00 рублей на 2024 год;»;</w:t>
      </w:r>
    </w:p>
    <w:p>
      <w:pPr>
        <w:pStyle w:val="Normal"/>
        <w:suppressAutoHyphens w:val="false"/>
        <w:autoSpaceDE w:val="false"/>
        <w:jc w:val="both"/>
        <w:rPr/>
      </w:pPr>
      <w:r>
        <w:rPr>
          <w:sz w:val="26"/>
          <w:szCs w:val="26"/>
          <w:lang w:eastAsia="ru-RU"/>
        </w:rPr>
        <w:t xml:space="preserve">           </w:t>
      </w:r>
      <w:r>
        <w:rPr>
          <w:sz w:val="26"/>
          <w:szCs w:val="26"/>
          <w:lang w:eastAsia="ru-RU"/>
        </w:rPr>
        <w:t xml:space="preserve">14) </w:t>
      </w:r>
      <w:r>
        <w:rPr>
          <w:sz w:val="26"/>
          <w:szCs w:val="26"/>
        </w:rPr>
        <w:t>приложение 2 «Свод доходов местного бюджета на 2024 год и плановый период 2025 и 2026 годов» к решению утвердить в новой редакции (Приложение 1 к настоящему решению);</w:t>
      </w:r>
    </w:p>
    <w:p>
      <w:pPr>
        <w:pStyle w:val="Normal"/>
        <w:ind w:firstLine="737" w:right="0"/>
        <w:jc w:val="both"/>
        <w:rPr>
          <w:sz w:val="26"/>
          <w:szCs w:val="26"/>
        </w:rPr>
      </w:pPr>
      <w:r>
        <w:rPr>
          <w:sz w:val="26"/>
          <w:szCs w:val="26"/>
        </w:rPr>
        <w:t>15) приложение 3 «Распределение бюджетных ассигнований местного бюджета по разделам, подразделам, целевым статьям (муниципальным программам городского округа Красноуральск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к решению утвердить в новой редакции (Приложение 2 к настоящему решению);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16) приложение 4 «Ведомственная структура расходов местного бюджета на 2024 год и плановый период 2025 и 2026 годов» к решению утвердить в новой редакции (Приложение 3 к настоящему решению);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17) приложение 5 «Перечень муниципальных программ городского округа Красноуральск, подлежащих реализации в 2024 году и плановом периоде 2025 и 2026 годов» к решению утвердить в новой редакции (Приложение 4 к настоящему решению);</w:t>
      </w:r>
    </w:p>
    <w:p>
      <w:pPr>
        <w:pStyle w:val="Normal"/>
        <w:tabs>
          <w:tab w:val="clear" w:pos="708"/>
          <w:tab w:val="left" w:pos="709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18) приложение 7 «Программа муниципальных гарантий городского округа Красноуральск в валюте Российской Федерации на 2024 год и плановый период 2025 и 2026 годов» к решению утвердить в новой редакции (Приложение 5 к настоящему решению);</w:t>
      </w:r>
    </w:p>
    <w:p>
      <w:pPr>
        <w:pStyle w:val="Normal"/>
        <w:tabs>
          <w:tab w:val="clear" w:pos="708"/>
          <w:tab w:val="left" w:pos="709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19) приложение 8 «Свод источников финансирования дефицита местного бюджета на 2024 год и плановый период 2025 и 2026 годов» к решению утвердить в новой редакции (Приложение 6 к настоящему решению).</w:t>
      </w:r>
    </w:p>
    <w:p>
      <w:pPr>
        <w:pStyle w:val="ConsPlusNormal"/>
        <w:widowControl/>
        <w:tabs>
          <w:tab w:val="clear" w:pos="708"/>
          <w:tab w:val="left" w:pos="3345" w:leader="none"/>
        </w:tabs>
        <w:spacing w:before="12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2. Настоящее решение опубликовать в газете «Красноуральский рабочий», за исключением приложений к нему.</w:t>
      </w:r>
    </w:p>
    <w:p>
      <w:pPr>
        <w:pStyle w:val="ConsPlusNormal"/>
        <w:widowControl/>
        <w:tabs>
          <w:tab w:val="clear" w:pos="708"/>
          <w:tab w:val="left" w:pos="3345" w:leader="none"/>
        </w:tabs>
        <w:spacing w:before="120" w:after="0"/>
        <w:ind w:firstLine="709" w:right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3. Полный текст настоящего решения опубликовать в сетевом издании                               «интернет-газета «Красноуральский рабочий» и разместить на официальном сайте</w:t>
      </w:r>
      <w:r>
        <w:rPr>
          <w:rFonts w:cs="Times New Roman" w:ascii="Times New Roman" w:hAnsi="Times New Roman"/>
          <w:sz w:val="26"/>
          <w:szCs w:val="26"/>
        </w:rPr>
        <w:t xml:space="preserve"> Думы городского округа Красноуральск в информационно-телекоммуникационной сети «Интернет» (</w:t>
      </w:r>
      <w:hyperlink r:id="rId3">
        <w:r>
          <w:rPr>
            <w:rStyle w:val="Hyperlink"/>
            <w:rFonts w:cs="Times New Roman" w:ascii="Times New Roman" w:hAnsi="Times New Roman"/>
            <w:color w:val="000000"/>
            <w:sz w:val="26"/>
            <w:szCs w:val="26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6"/>
            <w:szCs w:val="26"/>
            <w:u w:val="none"/>
            <w:lang w:val="en-US"/>
          </w:rPr>
          <w:t>duma</w:t>
        </w:r>
        <w:r>
          <w:rPr>
            <w:rStyle w:val="Hyperlink"/>
            <w:rFonts w:cs="Times New Roman" w:ascii="Times New Roman" w:hAnsi="Times New Roman"/>
            <w:color w:val="000000"/>
            <w:sz w:val="26"/>
            <w:szCs w:val="26"/>
            <w:u w:val="none"/>
          </w:rPr>
          <w:t>krur.ru</w:t>
        </w:r>
      </w:hyperlink>
      <w:r>
        <w:rPr>
          <w:rFonts w:cs="Times New Roman" w:ascii="Times New Roman" w:hAnsi="Times New Roman"/>
          <w:sz w:val="26"/>
          <w:szCs w:val="26"/>
        </w:rPr>
        <w:t>).</w:t>
      </w:r>
    </w:p>
    <w:p>
      <w:pPr>
        <w:pStyle w:val="ConsPlusNormal"/>
        <w:widowControl/>
        <w:tabs>
          <w:tab w:val="clear" w:pos="708"/>
          <w:tab w:val="left" w:pos="3345" w:leader="none"/>
        </w:tabs>
        <w:spacing w:before="12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4.</w:t>
      </w:r>
      <w:r>
        <w:rPr>
          <w:rFonts w:cs="Times New Roman" w:ascii="Times New Roman" w:hAnsi="Times New Roman"/>
          <w:bCs/>
          <w:sz w:val="26"/>
          <w:szCs w:val="26"/>
        </w:rPr>
        <w:t xml:space="preserve"> Настоящее решение вступает в силу на следующий день после его опубликования в сетевом издании «интернет-газета «Красноуральский рабочий», при условии официального опубликования настоящего решения без приложений к нему в газете «Красноуральский рабочий».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spacing w:before="120" w:after="0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Думы                                                                                                                                    городского округа Красноуральск                                                            А.В. Медведев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>
      <w:pPr>
        <w:pStyle w:val="Style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округа Красноуральск                                                        Д.Н. Кузьминых </w:t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866" w:top="1432" w:footer="0" w:bottom="110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3991610</wp:posOffset>
              </wp:positionH>
              <wp:positionV relativeFrom="paragraph">
                <wp:posOffset>-87630</wp:posOffset>
              </wp:positionV>
              <wp:extent cx="76200" cy="174625"/>
              <wp:effectExtent l="0" t="0" r="0" b="0"/>
              <wp:wrapSquare wrapText="largest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pt;height:13.75pt;mso-wrap-distance-left:0pt;mso-wrap-distance-right:0pt;mso-wrap-distance-top:0pt;mso-wrap-distance-bottom:0pt;margin-top:-6.9pt;mso-position-vertical-relative:text;margin-left:314.3pt;mso-position-horizontal-relative:page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z1">
    <w:name w:val="WW8Num2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6z1">
    <w:name w:val="WW8Num6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0">
    <w:name w:val="WW8Num7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7z1">
    <w:name w:val="WW8Num7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9z1">
    <w:name w:val="WW8Num9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0z0">
    <w:name w:val="WW8Num10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0z1">
    <w:name w:val="WW8Num10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0">
    <w:name w:val="WW8Num11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1z1">
    <w:name w:val="WW8Num11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2z0">
    <w:name w:val="WW8Num12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2z1">
    <w:name w:val="WW8Num12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5z1">
    <w:name w:val="WW8Num15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6z0">
    <w:name w:val="WW8Num16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6z1">
    <w:name w:val="WW8Num16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6z2">
    <w:name w:val="WW8Num16z2"/>
    <w:qFormat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17z0">
    <w:name w:val="WW8Num17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8z0">
    <w:name w:val="WW8Num18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18z1">
    <w:name w:val="WW8Num18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0z1">
    <w:name w:val="WW8Num20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2z1">
    <w:name w:val="WW8Num22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3z0">
    <w:name w:val="WW8Num23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3z1">
    <w:name w:val="WW8Num23z1"/>
    <w:qFormat/>
    <w:rPr>
      <w:b/>
      <w:i w:val="false"/>
      <w:sz w:val="28"/>
      <w:szCs w:val="28"/>
    </w:rPr>
  </w:style>
  <w:style w:type="character" w:styleId="WW8Num24z0">
    <w:name w:val="WW8Num24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4z1">
    <w:name w:val="WW8Num24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5z0">
    <w:name w:val="WW8Num25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5z1">
    <w:name w:val="WW8Num25z1"/>
    <w:qFormat/>
    <w:rPr>
      <w:color w:val="000000"/>
    </w:rPr>
  </w:style>
  <w:style w:type="character" w:styleId="WW8Num26z0">
    <w:name w:val="WW8Num26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6z1">
    <w:name w:val="WW8Num26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6z2">
    <w:name w:val="WW8Num26z2"/>
    <w:qFormat/>
    <w:rPr>
      <w:b/>
      <w:i w:val="false"/>
      <w:sz w:val="28"/>
      <w:szCs w:val="28"/>
    </w:rPr>
  </w:style>
  <w:style w:type="character" w:styleId="WW8Num27z0">
    <w:name w:val="WW8Num27z0"/>
    <w:qFormat/>
    <w:rPr/>
  </w:style>
  <w:style w:type="character" w:styleId="WW8Num28z0">
    <w:name w:val="WW8Num28z0"/>
    <w:qFormat/>
    <w:rPr>
      <w:rFonts w:ascii="Times New Roman" w:hAnsi="Times New Roman" w:cs="Times New Roman"/>
      <w:b/>
      <w:i w:val="false"/>
      <w:sz w:val="28"/>
      <w:szCs w:val="28"/>
    </w:rPr>
  </w:style>
  <w:style w:type="character" w:styleId="WW8Num28z1">
    <w:name w:val="WW8Num28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9z0">
    <w:name w:val="WW8Num29z0"/>
    <w:qFormat/>
    <w:rPr/>
  </w:style>
  <w:style w:type="character" w:styleId="1">
    <w:name w:val="Основной шрифт абзаца1"/>
    <w:qFormat/>
    <w:rPr/>
  </w:style>
  <w:style w:type="character" w:styleId="PageNumber">
    <w:name w:val="Page Number"/>
    <w:basedOn w:val="1"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ucida Sans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ucida Sans;Times New Roman"/>
      <w:lang w:val="zxx" w:bidi="zxx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3">
    <w:name w:val=" Знак"/>
    <w:basedOn w:val="Normal"/>
    <w:qFormat/>
    <w:pPr>
      <w:spacing w:lineRule="exact" w:line="240" w:before="0" w:after="160"/>
    </w:pPr>
    <w:rPr>
      <w:rFonts w:eastAsia="SimSun;宋体"/>
      <w:b/>
      <w:sz w:val="28"/>
      <w:lang w:val="en-US"/>
    </w:rPr>
  </w:style>
  <w:style w:type="paragraph" w:styleId="12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Style24">
    <w:name w:val="Знак"/>
    <w:basedOn w:val="Normal"/>
    <w:qFormat/>
    <w:pPr>
      <w:spacing w:lineRule="exact" w:line="240" w:before="0" w:after="160"/>
    </w:pPr>
    <w:rPr>
      <w:rFonts w:eastAsia="SimSun;宋体"/>
      <w:b/>
      <w:sz w:val="28"/>
      <w:lang w:val="en-US"/>
    </w:rPr>
  </w:style>
  <w:style w:type="paragraph" w:styleId="Style25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umakrur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1032</TotalTime>
  <Application>LibreOffice/24.2.0.3$Windows_X86_64 LibreOffice_project/da48488a73ddd66ea24cf16bbc4f7b9c08e9bea1</Application>
  <AppVersion>15.0000</AppVersion>
  <Pages>3</Pages>
  <Words>875</Words>
  <Characters>5198</Characters>
  <CharactersWithSpaces>6541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2018-07-26T16:43:00Z</dcterms:created>
  <dc:creator>NataVale</dc:creator>
  <dc:description/>
  <cp:keywords/>
  <dc:language>ru-RU</dc:language>
  <cp:lastModifiedBy/>
  <cp:lastPrinted>2024-03-28T15:07:00Z</cp:lastPrinted>
  <dcterms:modified xsi:type="dcterms:W3CDTF">2024-04-22T10:31:45Z</dcterms:modified>
  <cp:revision>266</cp:revision>
  <dc:subject/>
  <dc:title>ЗАКОН</dc:title>
</cp:coreProperties>
</file>