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sz w:val="32"/>
          <w:szCs w:val="32"/>
        </w:rPr>
      </w:pPr>
      <w:r>
        <w:rPr/>
        <w:drawing>
          <wp:inline distT="0" distB="0" distL="0" distR="0">
            <wp:extent cx="561975" cy="9048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1975" cy="904875"/>
                    </a:xfrm>
                    <a:prstGeom prst="rect">
                      <a:avLst/>
                    </a:prstGeom>
                    <a:noFill/>
                  </pic:spPr>
                </pic:pic>
              </a:graphicData>
            </a:graphic>
          </wp:inline>
        </w:drawing>
      </w:r>
    </w:p>
    <w:p>
      <w:pPr>
        <w:pStyle w:val="NoSpacing"/>
        <w:jc w:val="right"/>
        <w:rPr>
          <w:sz w:val="24"/>
          <w:szCs w:val="24"/>
        </w:rPr>
      </w:pPr>
      <w:r>
        <w:rPr>
          <w:sz w:val="24"/>
          <w:szCs w:val="24"/>
        </w:rPr>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Дума муниципального округа  Красноуральск</w:t>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восьмого созыва</w:t>
      </w:r>
    </w:p>
    <w:p>
      <w:pPr>
        <w:pStyle w:val="Normal"/>
        <w:numPr>
          <w:ilvl w:val="0"/>
          <w:numId w:val="0"/>
        </w:numPr>
        <w:spacing w:before="0" w:after="0"/>
        <w:ind w:hanging="0" w:left="0"/>
        <w:jc w:val="center"/>
        <w:outlineLvl w:val="0"/>
        <w:rPr>
          <w:rFonts w:ascii="Times New Roman" w:hAnsi="Times New Roman" w:cs="Times New Roman"/>
          <w:b/>
          <w:bCs/>
          <w:sz w:val="12"/>
          <w:szCs w:val="12"/>
        </w:rPr>
      </w:pPr>
      <w:r>
        <w:rPr>
          <w:rFonts w:cs="Times New Roman" w:ascii="Times New Roman" w:hAnsi="Times New Roman"/>
          <w:b/>
          <w:bCs/>
          <w:sz w:val="12"/>
          <w:szCs w:val="12"/>
        </w:rPr>
      </w:r>
    </w:p>
    <w:p>
      <w:pPr>
        <w:pStyle w:val="Normal"/>
        <w:numPr>
          <w:ilvl w:val="0"/>
          <w:numId w:val="0"/>
        </w:numPr>
        <w:spacing w:before="0" w:after="0"/>
        <w:ind w:hanging="0" w:left="0"/>
        <w:jc w:val="center"/>
        <w:outlineLvl w:val="0"/>
        <w:rPr>
          <w:rFonts w:ascii="Times New Roman" w:hAnsi="Times New Roman" w:cs="Times New Roman"/>
          <w:b/>
          <w:bCs/>
          <w:sz w:val="28"/>
          <w:szCs w:val="28"/>
        </w:rPr>
      </w:pPr>
      <w:r>
        <w:rPr>
          <w:rFonts w:cs="Times New Roman" w:ascii="Times New Roman" w:hAnsi="Times New Roman"/>
          <w:b/>
          <w:bCs/>
          <w:sz w:val="28"/>
          <w:szCs w:val="28"/>
        </w:rPr>
        <w:t xml:space="preserve">РЕШЕНИЕ </w:t>
      </w:r>
    </w:p>
    <w:p>
      <w:pPr>
        <w:pStyle w:val="NoSpacing"/>
        <w:rPr>
          <w:rFonts w:ascii="Times New Roman" w:hAnsi="Times New Roman" w:cs="Times New Roman"/>
        </w:rPr>
      </w:pPr>
      <w:r>
        <w:rPr>
          <w:rFonts w:cs="Times New Roman" w:ascii="Times New Roman" w:hAnsi="Times New Roman"/>
        </w:rPr>
        <mc:AlternateContent>
          <mc:Choice Requires="wps">
            <w:drawing>
              <wp:anchor behindDoc="0" distT="11430" distB="11430" distL="11430" distR="11430" simplePos="0" locked="0" layoutInCell="1" allowOverlap="1" relativeHeight="3">
                <wp:simplePos x="0" y="0"/>
                <wp:positionH relativeFrom="column">
                  <wp:posOffset>0</wp:posOffset>
                </wp:positionH>
                <wp:positionV relativeFrom="paragraph">
                  <wp:posOffset>92710</wp:posOffset>
                </wp:positionV>
                <wp:extent cx="6057900" cy="635"/>
                <wp:effectExtent l="11430" t="11430" r="11430" b="11430"/>
                <wp:wrapNone/>
                <wp:docPr id="2" name="Фигура1"/>
                <a:graphic xmlns:a="http://schemas.openxmlformats.org/drawingml/2006/main">
                  <a:graphicData uri="http://schemas.microsoft.com/office/word/2010/wordprocessingShape">
                    <wps:wsp>
                      <wps:cNvSpPr/>
                      <wps:spPr>
                        <a:xfrm>
                          <a:off x="0" y="0"/>
                          <a:ext cx="6058080" cy="720"/>
                        </a:xfrm>
                        <a:prstGeom prst="line">
                          <a:avLst/>
                        </a:prstGeom>
                        <a:ln w="22320">
                          <a:solidFill>
                            <a:srgbClr val="000000"/>
                          </a:solidFill>
                          <a:round/>
                        </a:ln>
                      </wps:spPr>
                      <wps:style>
                        <a:lnRef idx="0"/>
                        <a:fillRef idx="0"/>
                        <a:effectRef idx="0"/>
                        <a:fontRef idx="minor"/>
                      </wps:style>
                      <wps:bodyPr/>
                    </wps:wsp>
                  </a:graphicData>
                </a:graphic>
              </wp:anchor>
            </w:drawing>
          </mc:Choice>
          <mc:Fallback>
            <w:pict>
              <v:line id="shape_0" from="0pt,7.3pt" to="476.95pt,7.3pt" ID="Фигура1" stroked="t" o:allowincell="f" style="position:absolute">
                <v:stroke color="black" weight="22320"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4">
                <wp:simplePos x="0" y="0"/>
                <wp:positionH relativeFrom="column">
                  <wp:posOffset>0</wp:posOffset>
                </wp:positionH>
                <wp:positionV relativeFrom="paragraph">
                  <wp:posOffset>132715</wp:posOffset>
                </wp:positionV>
                <wp:extent cx="6057900" cy="635"/>
                <wp:effectExtent l="635" t="635" r="635" b="635"/>
                <wp:wrapNone/>
                <wp:docPr id="3" name="Фигура2"/>
                <a:graphic xmlns:a="http://schemas.openxmlformats.org/drawingml/2006/main">
                  <a:graphicData uri="http://schemas.microsoft.com/office/word/2010/wordprocessingShape">
                    <wps:wsp>
                      <wps:cNvSpPr/>
                      <wps:spPr>
                        <a:xfrm>
                          <a:off x="0" y="0"/>
                          <a:ext cx="60580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10.45pt" to="476.95pt,10.45pt" ID="Фигура2" stroked="t" o:allowincell="f" style="position:absolute">
                <v:stroke color="black" joinstyle="round" endcap="flat"/>
                <v:fill o:detectmouseclick="t" on="false"/>
                <w10:wrap type="none"/>
              </v:line>
            </w:pict>
          </mc:Fallback>
        </mc:AlternateContent>
      </w:r>
    </w:p>
    <w:p>
      <w:pPr>
        <w:pStyle w:val="NoSpacing"/>
        <w:spacing w:lineRule="auto" w:line="24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pPr>
      <w:r>
        <w:rPr>
          <w:rFonts w:ascii="Times New Roman" w:hAnsi="Times New Roman"/>
          <w:sz w:val="28"/>
          <w:szCs w:val="28"/>
        </w:rPr>
        <w:t>от  29 мая 2025 года  № 233</w:t>
      </w:r>
    </w:p>
    <w:p>
      <w:pPr>
        <w:pStyle w:val="Normal"/>
        <w:spacing w:lineRule="auto" w:line="240" w:before="0" w:after="0"/>
        <w:rPr/>
      </w:pPr>
      <w:r>
        <w:rPr>
          <w:rFonts w:ascii="Times New Roman" w:hAnsi="Times New Roman"/>
          <w:sz w:val="28"/>
          <w:szCs w:val="28"/>
        </w:rPr>
        <w:t>город Красноуральск</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b/>
          <w:bCs/>
          <w:sz w:val="28"/>
          <w:szCs w:val="28"/>
        </w:rPr>
        <w:t>Об исполнении бюджета городского округа Красноуральск за 2024 год</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40" w:before="0" w:after="0"/>
        <w:ind w:firstLine="850" w:left="0" w:right="0"/>
        <w:jc w:val="both"/>
        <w:rPr/>
      </w:pPr>
      <w:r>
        <w:rPr>
          <w:rFonts w:ascii="Times New Roman" w:hAnsi="Times New Roman"/>
          <w:sz w:val="28"/>
          <w:szCs w:val="28"/>
        </w:rPr>
        <w:t>В соответствии со статьями 9, 264.5, 264.6 Бюджетного кодекса Российской Федерации, статьей 35 Федерального закона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округе Красноуральск, утвержденным решением Думы городского округа Красноуральск от 24 марта 2022 года № 373, заключением Счетной палаты муниципального округа Красноуральск на годовой отчет об исполнении бюджета городского округа Красноуральск за 2024 год, протоколом публичных слушаний от 24 апреля 2025 года, рассмотрев представленный администрацией муниципального округа Красноуральск годовой отчет об исполнении бюджета городского округа Красноуральск за 2024 год, руководствуясь статьей 23 Устава муниципального округа Красноуральск, Дума муниципального округа Красноуральск</w:t>
      </w:r>
    </w:p>
    <w:p>
      <w:pPr>
        <w:pStyle w:val="Normal"/>
        <w:widowControl/>
        <w:tabs>
          <w:tab w:val="clear" w:pos="708"/>
          <w:tab w:val="left" w:pos="2910" w:leader="none"/>
        </w:tabs>
        <w:suppressAutoHyphens w:val="true"/>
        <w:bidi w:val="0"/>
        <w:spacing w:lineRule="auto" w:line="240" w:before="0" w:after="200"/>
        <w:ind w:hanging="0" w:left="0" w:right="0"/>
        <w:jc w:val="center"/>
        <w:rPr>
          <w:sz w:val="12"/>
          <w:szCs w:val="12"/>
        </w:rPr>
      </w:pPr>
      <w:r>
        <w:rPr>
          <w:sz w:val="12"/>
          <w:szCs w:val="12"/>
        </w:rPr>
      </w:r>
    </w:p>
    <w:p>
      <w:pPr>
        <w:pStyle w:val="Normal"/>
        <w:widowControl/>
        <w:tabs>
          <w:tab w:val="clear" w:pos="708"/>
          <w:tab w:val="left" w:pos="2910" w:leader="none"/>
        </w:tabs>
        <w:suppressAutoHyphens w:val="true"/>
        <w:bidi w:val="0"/>
        <w:spacing w:lineRule="auto" w:line="240" w:before="0" w:after="200"/>
        <w:ind w:hanging="0" w:left="0" w:right="0"/>
        <w:jc w:val="center"/>
        <w:rPr/>
      </w:pPr>
      <w:r>
        <w:rPr>
          <w:rFonts w:ascii="Times New Roman" w:hAnsi="Times New Roman"/>
          <w:b/>
          <w:sz w:val="28"/>
          <w:szCs w:val="28"/>
        </w:rPr>
        <w:t>РЕШИЛА:</w:t>
      </w:r>
    </w:p>
    <w:p>
      <w:pPr>
        <w:pStyle w:val="Normal"/>
        <w:numPr>
          <w:ilvl w:val="0"/>
          <w:numId w:val="0"/>
        </w:numPr>
        <w:bidi w:val="0"/>
        <w:spacing w:lineRule="auto" w:line="240"/>
        <w:ind w:firstLine="850" w:left="0" w:right="0"/>
        <w:jc w:val="both"/>
        <w:outlineLvl w:val="1"/>
        <w:rPr/>
      </w:pPr>
      <w:r>
        <w:rPr>
          <w:rFonts w:ascii="Times New Roman" w:hAnsi="Times New Roman"/>
          <w:sz w:val="28"/>
          <w:szCs w:val="28"/>
        </w:rPr>
        <w:t>1. Утвердить отчет об исполнении бюджета городского округа Красноуральск за 2024 год, в том числе:</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1) общий объем доходов местного бюджета, поступивших в 2024 году, - 1 995 623 832,42 рублей;</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2) общий объем расходов местного бюджета, осуществленных в 2024 году, - 1 916 002 019,19 рублей;</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3) размер профицита местного бюджета – 79 621 813,23 рублей.</w:t>
      </w:r>
    </w:p>
    <w:p>
      <w:pPr>
        <w:pStyle w:val="ConsPlusNormal"/>
        <w:numPr>
          <w:ilvl w:val="0"/>
          <w:numId w:val="0"/>
        </w:numPr>
        <w:bidi w:val="0"/>
        <w:spacing w:lineRule="auto" w:line="240"/>
        <w:ind w:firstLine="850" w:left="0" w:right="0"/>
        <w:jc w:val="both"/>
        <w:outlineLvl w:val="1"/>
        <w:rPr>
          <w:sz w:val="12"/>
          <w:szCs w:val="12"/>
        </w:rPr>
      </w:pPr>
      <w:r>
        <w:rPr>
          <w:sz w:val="12"/>
          <w:szCs w:val="12"/>
        </w:rPr>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2. Утвердить:</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1) доходы местного бюджета по кодам классификации доходов бюджетов (приложение 1);</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2) расходы местного бюджета по ведомственной структуре расходов местного бюджета (приложение 2);</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3) расходы местного бюджета по разделам и подразделам классификации расходов бюджетов (приложение 3);</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4) источники финансирования дефицита бюджета по кодам классификации источников финансирования дефицитов бюджетов (приложение 4);</w:t>
      </w:r>
    </w:p>
    <w:p>
      <w:pPr>
        <w:pStyle w:val="ConsPlusNormal"/>
        <w:numPr>
          <w:ilvl w:val="0"/>
          <w:numId w:val="0"/>
        </w:numPr>
        <w:bidi w:val="0"/>
        <w:spacing w:lineRule="auto" w:line="240"/>
        <w:ind w:firstLine="850" w:left="0" w:right="0"/>
        <w:jc w:val="both"/>
        <w:outlineLvl w:val="1"/>
        <w:rPr/>
      </w:pPr>
      <w:r>
        <w:rPr>
          <w:rFonts w:ascii="Times New Roman" w:hAnsi="Times New Roman"/>
          <w:sz w:val="28"/>
          <w:szCs w:val="28"/>
        </w:rPr>
        <w:t>5) размер и структуру муниципального долга по состоянию на 1 января 2025 года, объем и структуру расходов на обслуживание муниципального долга в 2024 году (приложение 5);</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6) исполнение Программы муниципальных внутренних заимствований городского округа Красноуральск в 2024 году (приложение 6);</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 xml:space="preserve">7) исполнение Программы муниципальных гарантий городского округа Красноуральск в валюте Российской Федерации в 2024 году (приложение 7); </w:t>
      </w:r>
    </w:p>
    <w:p>
      <w:pPr>
        <w:pStyle w:val="ConsPlusNormal"/>
        <w:numPr>
          <w:ilvl w:val="0"/>
          <w:numId w:val="0"/>
        </w:numPr>
        <w:bidi w:val="0"/>
        <w:spacing w:lineRule="auto" w:line="240"/>
        <w:ind w:firstLine="850" w:left="0" w:right="0"/>
        <w:jc w:val="both"/>
        <w:outlineLvl w:val="1"/>
        <w:rPr/>
      </w:pPr>
      <w:r>
        <w:rPr>
          <w:rFonts w:ascii="Times New Roman" w:hAnsi="Times New Roman"/>
          <w:sz w:val="28"/>
          <w:szCs w:val="28"/>
        </w:rPr>
        <w:t>8) объем средств местного бюджета, направленных в 2024 году на реализацию  муниципальных  программ, – 1 572 539 583,12 рублей (приложение 8);</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9) объем межбюджетных трансфертов, полученных из других бюджетов бюджетной системы Российской Федерации – 1 295 333 176,29 рублей, в том числе дотации – 511 039 065,00 рублей; субсидии – 186 977 013,90 рублей; субвенции – 488 567 956,75 рублей; иные межбюджетные трансферты – 108 749 140,64 рублей;</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10) объем муниципального долга городского округа Красноуральск на 1 января 2025 года – 53 036 735,56 рублей, в том числе объем долга по муниципальным гарантиям городского округа Красноуральск – 18 756 735,56 рублей;</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11) объем расходов на обслуживание муниципального долга городского округа Красноуральск, осуществленных в 2024 году, - 36 059,49 рублей;</w:t>
      </w:r>
    </w:p>
    <w:p>
      <w:pPr>
        <w:pStyle w:val="ConsPlusNormal"/>
        <w:numPr>
          <w:ilvl w:val="0"/>
          <w:numId w:val="0"/>
        </w:numPr>
        <w:bidi w:val="0"/>
        <w:spacing w:lineRule="auto" w:line="240"/>
        <w:ind w:firstLine="850" w:left="0" w:right="0"/>
        <w:jc w:val="both"/>
        <w:outlineLvl w:val="1"/>
        <w:rPr/>
      </w:pPr>
      <w:r>
        <w:rPr>
          <w:rFonts w:ascii="Times New Roman" w:hAnsi="Times New Roman"/>
          <w:sz w:val="28"/>
          <w:szCs w:val="28"/>
        </w:rPr>
        <w:t>12) общий объем бюджетных ассигнований, направленных в 2024 году из местного бюджета на исполнение Дорожного фонда городского округа Красноуральск, -   135 959 962,39 рублей;</w:t>
      </w:r>
    </w:p>
    <w:p>
      <w:pPr>
        <w:pStyle w:val="ConsPlusNormal"/>
        <w:numPr>
          <w:ilvl w:val="0"/>
          <w:numId w:val="0"/>
        </w:numPr>
        <w:bidi w:val="0"/>
        <w:spacing w:lineRule="auto" w:line="240"/>
        <w:ind w:firstLine="850" w:left="0" w:right="0"/>
        <w:jc w:val="both"/>
        <w:outlineLvl w:val="1"/>
        <w:rPr/>
      </w:pPr>
      <w:r>
        <w:rPr>
          <w:rFonts w:ascii="Times New Roman" w:hAnsi="Times New Roman"/>
          <w:sz w:val="28"/>
          <w:szCs w:val="28"/>
        </w:rPr>
        <w:t>13) общий объем субсидий, предоставленных в 2024 году из местного бюджета некоммерческим организациям, не являющимся муниципальными учреждениями – 1 069 577,60 рублей, в том числе Фонду «Красноуральский фонд поддержки предпринимательства» на обеспечение деятельности –  287 577,60 рублей; Местной общественной организации «Народная дружина городского округа Красноуральск» на обеспечение деятельности –  413 000,00 рублей.</w:t>
      </w:r>
    </w:p>
    <w:p>
      <w:pPr>
        <w:pStyle w:val="ConsPlusNormal"/>
        <w:numPr>
          <w:ilvl w:val="0"/>
          <w:numId w:val="0"/>
        </w:numPr>
        <w:bidi w:val="0"/>
        <w:spacing w:lineRule="auto" w:line="240"/>
        <w:ind w:firstLine="850" w:left="0" w:right="0"/>
        <w:jc w:val="both"/>
        <w:outlineLvl w:val="1"/>
        <w:rPr>
          <w:sz w:val="12"/>
          <w:szCs w:val="12"/>
        </w:rPr>
      </w:pPr>
      <w:r>
        <w:rPr>
          <w:sz w:val="12"/>
          <w:szCs w:val="12"/>
        </w:rPr>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3. Принять к сведению, что:</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1) межбюджетные трансферты другим бюджетам бюджетной системы Российской Федерации в 2024 году не предоставлялись;</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2) в 2024 году бюджетные кредиты из областного бюджета не привлекались;</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3) на 1 января 2025 года долг по муниципальным гарантиям городского округа Красноуральск составил 18 756 735,56 рублей;</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4) при исполнении местного бюджета объем муниципального долга городского округа Красноуральск не превышал предельный объем муниципального долга, установленный решением Думы городского  округа Красноуральск о местном бюджете на 2024 год;</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5) объем муниципального долга городского округа Красноуральск, в том числе объем долга по муниципальным гарантиям, на 1 января 2025 года не превысил величину верхнего предела муниципального внутреннего долга, установленного на 1 января 2025 года решением Думы городского  округа Красноуральск о местном бюджете на 2024 год;</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6) в 2024 году бюджетные ассигнования из местного бюджета на исполнение публичных нормативных обязательств городского округа Красноуральск не направлялись;</w:t>
      </w:r>
    </w:p>
    <w:p>
      <w:pPr>
        <w:pStyle w:val="ConsPlusNormal"/>
        <w:numPr>
          <w:ilvl w:val="0"/>
          <w:numId w:val="0"/>
        </w:numPr>
        <w:bidi w:val="0"/>
        <w:spacing w:lineRule="auto" w:line="240"/>
        <w:ind w:firstLine="850" w:left="0" w:right="0"/>
        <w:jc w:val="both"/>
        <w:outlineLvl w:val="1"/>
        <w:rPr/>
      </w:pPr>
      <w:r>
        <w:rPr>
          <w:rFonts w:cs="Times New Roman" w:ascii="Times New Roman" w:hAnsi="Times New Roman"/>
          <w:sz w:val="28"/>
          <w:szCs w:val="28"/>
        </w:rPr>
        <w:t>7) в 2024 году администрацией городского округа Красноуральск принято 4</w:t>
      </w:r>
      <w:r>
        <w:rPr>
          <w:rFonts w:cs="Times New Roman" w:ascii="Times New Roman" w:hAnsi="Times New Roman"/>
          <w:color w:val="FF0000"/>
          <w:sz w:val="28"/>
          <w:szCs w:val="28"/>
        </w:rPr>
        <w:t xml:space="preserve"> </w:t>
      </w:r>
      <w:r>
        <w:rPr>
          <w:rFonts w:cs="Times New Roman" w:ascii="Times New Roman" w:hAnsi="Times New Roman"/>
          <w:sz w:val="28"/>
          <w:szCs w:val="28"/>
        </w:rPr>
        <w:t>решения о выделении бюджетных ассигнований из резервного фонда администрации городского округа Красноуральск на общую сумму 1 346 739,49 рублей;</w:t>
      </w:r>
    </w:p>
    <w:p>
      <w:pPr>
        <w:pStyle w:val="Normal"/>
        <w:numPr>
          <w:ilvl w:val="0"/>
          <w:numId w:val="0"/>
        </w:numPr>
        <w:bidi w:val="0"/>
        <w:spacing w:lineRule="auto" w:line="240"/>
        <w:ind w:firstLine="850" w:left="0" w:right="0"/>
        <w:jc w:val="both"/>
        <w:rPr/>
      </w:pPr>
      <w:r>
        <w:rPr>
          <w:rFonts w:ascii="Times New Roman" w:hAnsi="Times New Roman"/>
          <w:sz w:val="28"/>
          <w:szCs w:val="28"/>
        </w:rPr>
        <w:t>8) бюджетные инвестиции юридическим лицам, не являющимся муниципальными учреждениями, муниципальными унитарными предприятиями, в 2024 году не предоставлялись.</w:t>
      </w:r>
    </w:p>
    <w:p>
      <w:pPr>
        <w:pStyle w:val="Normal"/>
        <w:numPr>
          <w:ilvl w:val="0"/>
          <w:numId w:val="0"/>
        </w:numPr>
        <w:bidi w:val="0"/>
        <w:spacing w:lineRule="auto" w:line="240" w:before="0" w:after="0"/>
        <w:ind w:firstLine="850" w:left="0" w:right="0"/>
        <w:jc w:val="both"/>
        <w:rPr/>
      </w:pPr>
      <w:r>
        <w:rPr>
          <w:rFonts w:ascii="Times New Roman" w:hAnsi="Times New Roman"/>
          <w:sz w:val="28"/>
          <w:szCs w:val="28"/>
        </w:rPr>
        <w:t xml:space="preserve">4. </w:t>
      </w:r>
      <w:r>
        <w:rPr>
          <w:rFonts w:ascii="Times New Roman" w:hAnsi="Times New Roman"/>
          <w:bCs/>
          <w:sz w:val="28"/>
          <w:szCs w:val="28"/>
        </w:rPr>
        <w:t xml:space="preserve">Настоящее решение </w:t>
      </w:r>
      <w:r>
        <w:rPr>
          <w:rFonts w:cs="Times New Roman" w:ascii="Times New Roman" w:hAnsi="Times New Roman"/>
          <w:bCs/>
          <w:sz w:val="28"/>
          <w:szCs w:val="28"/>
        </w:rPr>
        <w:t xml:space="preserve">официально опубликовать </w:t>
      </w:r>
      <w:r>
        <w:rPr>
          <w:rFonts w:cs="Times New Roman" w:ascii="Times New Roman" w:hAnsi="Times New Roman"/>
          <w:bCs/>
          <w:sz w:val="28"/>
          <w:szCs w:val="28"/>
        </w:rPr>
        <w:t xml:space="preserve">в сетевом издании «интернет-газета «Красноуральский рабочий» и разместить на официальном сайте Думы </w:t>
      </w:r>
      <w:r>
        <w:rPr>
          <w:rFonts w:cs="Times New Roman" w:ascii="Times New Roman" w:hAnsi="Times New Roman"/>
          <w:bCs/>
          <w:sz w:val="28"/>
          <w:szCs w:val="28"/>
        </w:rPr>
        <w:t>муниципального</w:t>
      </w:r>
      <w:r>
        <w:rPr>
          <w:rFonts w:cs="Times New Roman" w:ascii="Times New Roman" w:hAnsi="Times New Roman"/>
          <w:bCs/>
          <w:sz w:val="28"/>
          <w:szCs w:val="28"/>
        </w:rPr>
        <w:t xml:space="preserve"> округа Красноуральск в информационно-телекоммуникационной сети «Интернет» (</w:t>
      </w:r>
      <w:hyperlink r:id="rId3">
        <w:r>
          <w:rPr>
            <w:rStyle w:val="Hyperlink"/>
            <w:rFonts w:cs="Times New Roman" w:ascii="Times New Roman" w:hAnsi="Times New Roman"/>
            <w:bCs/>
            <w:color w:val="auto"/>
            <w:sz w:val="28"/>
            <w:szCs w:val="28"/>
            <w:u w:val="none"/>
            <w:lang w:val="en-US"/>
          </w:rPr>
          <w:t>http</w:t>
        </w:r>
        <w:r>
          <w:rPr>
            <w:rStyle w:val="Hyperlink"/>
            <w:rFonts w:cs="Times New Roman" w:ascii="Times New Roman" w:hAnsi="Times New Roman"/>
            <w:bCs/>
            <w:color w:val="auto"/>
            <w:sz w:val="28"/>
            <w:szCs w:val="28"/>
            <w:u w:val="none"/>
          </w:rPr>
          <w:t>://</w:t>
        </w:r>
        <w:r>
          <w:rPr>
            <w:rStyle w:val="Hyperlink"/>
            <w:rFonts w:cs="Times New Roman" w:ascii="Times New Roman" w:hAnsi="Times New Roman"/>
            <w:bCs/>
            <w:color w:val="auto"/>
            <w:sz w:val="28"/>
            <w:szCs w:val="28"/>
            <w:u w:val="none"/>
            <w:lang w:val="en-US"/>
          </w:rPr>
          <w:t>www</w:t>
        </w:r>
        <w:r>
          <w:rPr>
            <w:rStyle w:val="Hyperlink"/>
            <w:rFonts w:cs="Times New Roman" w:ascii="Times New Roman" w:hAnsi="Times New Roman"/>
            <w:bCs/>
            <w:color w:val="auto"/>
            <w:sz w:val="28"/>
            <w:szCs w:val="28"/>
            <w:u w:val="none"/>
          </w:rPr>
          <w:t>.</w:t>
        </w:r>
        <w:r>
          <w:rPr>
            <w:rStyle w:val="Hyperlink"/>
            <w:rFonts w:cs="Times New Roman" w:ascii="Times New Roman" w:hAnsi="Times New Roman"/>
            <w:bCs/>
            <w:color w:val="auto"/>
            <w:sz w:val="28"/>
            <w:szCs w:val="28"/>
            <w:u w:val="none"/>
            <w:lang w:val="en-US"/>
          </w:rPr>
          <w:t>dumakrur</w:t>
        </w:r>
        <w:r>
          <w:rPr>
            <w:rStyle w:val="Hyperlink"/>
            <w:rFonts w:cs="Times New Roman" w:ascii="Times New Roman" w:hAnsi="Times New Roman"/>
            <w:bCs/>
            <w:color w:val="auto"/>
            <w:sz w:val="28"/>
            <w:szCs w:val="28"/>
            <w:u w:val="none"/>
          </w:rPr>
          <w:t>.</w:t>
        </w:r>
        <w:r>
          <w:rPr>
            <w:rStyle w:val="Hyperlink"/>
            <w:rFonts w:cs="Times New Roman" w:ascii="Times New Roman" w:hAnsi="Times New Roman"/>
            <w:bCs/>
            <w:color w:val="auto"/>
            <w:sz w:val="28"/>
            <w:szCs w:val="28"/>
            <w:u w:val="none"/>
            <w:lang w:val="en-US"/>
          </w:rPr>
          <w:t>ru</w:t>
        </w:r>
      </w:hyperlink>
      <w:r>
        <w:rPr>
          <w:rFonts w:cs="Times New Roman" w:ascii="Times New Roman" w:hAnsi="Times New Roman"/>
          <w:bCs/>
          <w:sz w:val="28"/>
          <w:szCs w:val="28"/>
        </w:rPr>
        <w:t>).</w:t>
      </w:r>
    </w:p>
    <w:p>
      <w:pPr>
        <w:pStyle w:val="Normal"/>
        <w:numPr>
          <w:ilvl w:val="0"/>
          <w:numId w:val="0"/>
        </w:numPr>
        <w:bidi w:val="0"/>
        <w:spacing w:lineRule="auto" w:line="240" w:before="0" w:after="0"/>
        <w:ind w:firstLine="850" w:left="0" w:right="0"/>
        <w:jc w:val="both"/>
        <w:rPr>
          <w:rFonts w:ascii="Times New Roman" w:hAnsi="Times New Roman" w:cs="Times New Roman"/>
          <w:bCs/>
        </w:rPr>
      </w:pPr>
      <w:r>
        <w:rPr>
          <w:sz w:val="12"/>
          <w:szCs w:val="12"/>
        </w:rPr>
      </w:r>
    </w:p>
    <w:p>
      <w:pPr>
        <w:pStyle w:val="Normal"/>
        <w:numPr>
          <w:ilvl w:val="0"/>
          <w:numId w:val="0"/>
        </w:numPr>
        <w:bidi w:val="0"/>
        <w:spacing w:lineRule="auto" w:line="240" w:before="0" w:after="0"/>
        <w:ind w:firstLine="850" w:left="0" w:right="0"/>
        <w:jc w:val="both"/>
        <w:rPr>
          <w:sz w:val="28"/>
          <w:szCs w:val="28"/>
        </w:rPr>
      </w:pPr>
      <w:r>
        <w:rPr>
          <w:rFonts w:ascii="Times New Roman" w:hAnsi="Times New Roman"/>
          <w:sz w:val="28"/>
          <w:szCs w:val="28"/>
        </w:rPr>
        <w:t xml:space="preserve">5. </w:t>
      </w:r>
      <w:r>
        <w:rPr>
          <w:rFonts w:ascii="Times New Roman" w:hAnsi="Times New Roman"/>
          <w:bCs/>
          <w:sz w:val="28"/>
          <w:szCs w:val="28"/>
        </w:rPr>
        <w:t xml:space="preserve">Настоящее решение </w:t>
      </w:r>
      <w:r>
        <w:rPr>
          <w:rFonts w:cs="Times New Roman" w:ascii="Times New Roman" w:hAnsi="Times New Roman"/>
          <w:bCs/>
          <w:sz w:val="28"/>
          <w:szCs w:val="28"/>
        </w:rPr>
        <w:t xml:space="preserve">вступает в силу на следующий день после </w:t>
      </w:r>
      <w:r>
        <w:rPr>
          <w:rFonts w:cs="Times New Roman" w:ascii="Times New Roman" w:hAnsi="Times New Roman"/>
          <w:bCs/>
          <w:sz w:val="28"/>
          <w:szCs w:val="28"/>
        </w:rPr>
        <w:t xml:space="preserve">официального </w:t>
      </w:r>
      <w:r>
        <w:rPr>
          <w:rFonts w:cs="Times New Roman" w:ascii="Times New Roman" w:hAnsi="Times New Roman"/>
          <w:bCs/>
          <w:sz w:val="28"/>
          <w:szCs w:val="28"/>
        </w:rPr>
        <w:t>опубликования в сетевом издании «интернет-газета «Красноуральский рабочий».</w:t>
      </w:r>
    </w:p>
    <w:p>
      <w:pPr>
        <w:pStyle w:val="Normal"/>
        <w:numPr>
          <w:ilvl w:val="0"/>
          <w:numId w:val="0"/>
        </w:numPr>
        <w:bidi w:val="0"/>
        <w:spacing w:lineRule="auto" w:line="240" w:before="0" w:after="0"/>
        <w:ind w:firstLine="850" w:left="0" w:right="0"/>
        <w:jc w:val="both"/>
        <w:rPr>
          <w:rFonts w:ascii="Times New Roman" w:hAnsi="Times New Roman" w:cs="Times New Roman"/>
          <w:bCs/>
        </w:rPr>
      </w:pPr>
      <w:r>
        <w:rPr>
          <w:sz w:val="28"/>
          <w:szCs w:val="28"/>
        </w:rPr>
      </w:r>
    </w:p>
    <w:p>
      <w:pPr>
        <w:pStyle w:val="Normal"/>
        <w:numPr>
          <w:ilvl w:val="0"/>
          <w:numId w:val="0"/>
        </w:numPr>
        <w:bidi w:val="0"/>
        <w:spacing w:lineRule="auto" w:line="240" w:before="0" w:after="0"/>
        <w:ind w:firstLine="850" w:left="0" w:right="0"/>
        <w:jc w:val="both"/>
        <w:rPr>
          <w:sz w:val="28"/>
          <w:szCs w:val="28"/>
        </w:rPr>
      </w:pPr>
      <w:r>
        <w:rPr>
          <w:rFonts w:ascii="Times New Roman" w:hAnsi="Times New Roman"/>
          <w:sz w:val="28"/>
          <w:szCs w:val="28"/>
        </w:rPr>
        <w:t>6. Контроль исполнения настоящего решения возложить на постоянную комиссию по экономической политике и бюджету (И.А. Карпишина).</w:t>
      </w:r>
    </w:p>
    <w:p>
      <w:pPr>
        <w:pStyle w:val="Normal"/>
        <w:ind w:firstLine="567" w:right="0"/>
        <w:jc w:val="both"/>
        <w:rPr>
          <w:sz w:val="28"/>
          <w:szCs w:val="28"/>
        </w:rPr>
      </w:pPr>
      <w:r>
        <w:rPr>
          <w:sz w:val="28"/>
          <w:szCs w:val="28"/>
        </w:rPr>
      </w:r>
    </w:p>
    <w:p>
      <w:pPr>
        <w:pStyle w:val="Normal"/>
        <w:numPr>
          <w:ilvl w:val="0"/>
          <w:numId w:val="0"/>
        </w:numPr>
        <w:spacing w:before="120" w:after="0"/>
        <w:ind w:hanging="0" w:left="0"/>
        <w:outlineLvl w:val="2"/>
        <w:rPr>
          <w:rFonts w:ascii="Times New Roman" w:hAnsi="Times New Roman"/>
          <w:sz w:val="28"/>
          <w:szCs w:val="28"/>
        </w:rPr>
      </w:pPr>
      <w:r>
        <w:rPr>
          <w:rFonts w:ascii="Times New Roman" w:hAnsi="Times New Roman"/>
          <w:b/>
          <w:sz w:val="28"/>
          <w:szCs w:val="28"/>
        </w:rPr>
        <w:t>Председатель Думы                                                                                                                                    муниципального округа Красноуральск                                     А.В. Медведев</w:t>
      </w:r>
    </w:p>
    <w:p>
      <w:pPr>
        <w:pStyle w:val="Normal"/>
        <w:rPr>
          <w:rFonts w:ascii="Times New Roman" w:hAnsi="Times New Roman"/>
          <w:sz w:val="28"/>
          <w:szCs w:val="28"/>
        </w:rPr>
      </w:pPr>
      <w:r>
        <w:rPr>
          <w:rFonts w:ascii="Times New Roman" w:hAnsi="Times New Roman"/>
          <w:sz w:val="28"/>
          <w:szCs w:val="28"/>
        </w:rPr>
      </w:r>
    </w:p>
    <w:p>
      <w:pPr>
        <w:pStyle w:val="Style31"/>
        <w:rPr>
          <w:rFonts w:ascii="Times New Roman" w:hAnsi="Times New Roman"/>
          <w:b/>
          <w:sz w:val="28"/>
          <w:szCs w:val="28"/>
        </w:rPr>
      </w:pPr>
      <w:r>
        <w:rPr>
          <w:b/>
          <w:sz w:val="28"/>
          <w:szCs w:val="28"/>
        </w:rPr>
        <w:t xml:space="preserve">Глава </w:t>
      </w:r>
    </w:p>
    <w:p>
      <w:pPr>
        <w:pStyle w:val="Style31"/>
        <w:rPr>
          <w:rFonts w:ascii="Times New Roman" w:hAnsi="Times New Roman"/>
          <w:b/>
          <w:sz w:val="28"/>
          <w:szCs w:val="28"/>
        </w:rPr>
      </w:pPr>
      <w:r>
        <w:rPr>
          <w:b/>
          <w:bCs/>
          <w:sz w:val="28"/>
          <w:szCs w:val="28"/>
        </w:rPr>
        <w:t xml:space="preserve">муниципального округа Красноуральск                                 Д.Н. Кузьминых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686" w:gutter="0" w:header="519" w:top="1200" w:footer="1065" w:bottom="1492"/>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swiss"/>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339438"/>
    </w:sdtPr>
    <w:sdtContent>
      <w:p>
        <w:pPr>
          <w:pStyle w:val="Head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right"/>
      <w:rPr>
        <w:sz w:val="24"/>
        <w:szCs w:val="24"/>
      </w:rPr>
    </w:pPr>
    <w:r>
      <w:rPr>
        <w:sz w:val="24"/>
        <w:szCs w:val="24"/>
      </w:rPr>
    </w:r>
  </w:p>
  <w:p>
    <w:pPr>
      <w:pStyle w:val="NoSpacing"/>
      <w:jc w:val="right"/>
      <w:rPr>
        <w:b/>
        <w:bCs/>
        <w:sz w:val="28"/>
        <w:szCs w:val="28"/>
      </w:rPr>
    </w:pPr>
    <w:r>
      <w:rPr>
        <w:b/>
        <w:bCs/>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sz w:val="26"/>
        <w:b w:val="false"/>
        <w:szCs w:val="26"/>
        <w:bCs w:val="false"/>
        <w:rFonts w:ascii="Times New Roman" w:hAnsi="Times New Roman"/>
      </w:rPr>
    </w:lvl>
    <w:lvl w:ilvl="1">
      <w:start w:val="1"/>
      <w:isLgl/>
      <w:numFmt w:val="decimal"/>
      <w:lvlText w:val="%1.%2."/>
      <w:lvlJc w:val="left"/>
      <w:pPr>
        <w:tabs>
          <w:tab w:val="num" w:pos="0"/>
        </w:tabs>
        <w:ind w:left="1429" w:hanging="720"/>
      </w:pPr>
      <w:rPr>
        <w:b/>
      </w:rPr>
    </w:lvl>
    <w:lvl w:ilvl="2">
      <w:start w:val="1"/>
      <w:isLgl/>
      <w:numFmt w:val="decimal"/>
      <w:lvlText w:val="%1.%2.%3."/>
      <w:lvlJc w:val="left"/>
      <w:pPr>
        <w:tabs>
          <w:tab w:val="num" w:pos="0"/>
        </w:tabs>
        <w:ind w:left="1429" w:hanging="720"/>
      </w:pPr>
      <w:rPr>
        <w:b/>
      </w:rPr>
    </w:lvl>
    <w:lvl w:ilvl="3">
      <w:start w:val="1"/>
      <w:isLgl/>
      <w:numFmt w:val="decimal"/>
      <w:lvlText w:val="%1.%2.%3.%4."/>
      <w:lvlJc w:val="left"/>
      <w:pPr>
        <w:tabs>
          <w:tab w:val="num" w:pos="0"/>
        </w:tabs>
        <w:ind w:left="1789" w:hanging="1080"/>
      </w:pPr>
      <w:rPr>
        <w:b/>
      </w:rPr>
    </w:lvl>
    <w:lvl w:ilvl="4">
      <w:start w:val="1"/>
      <w:isLgl/>
      <w:numFmt w:val="decimal"/>
      <w:lvlText w:val="%1.%2.%3.%4.%5."/>
      <w:lvlJc w:val="left"/>
      <w:pPr>
        <w:tabs>
          <w:tab w:val="num" w:pos="0"/>
        </w:tabs>
        <w:ind w:left="1789" w:hanging="1080"/>
      </w:pPr>
      <w:rPr>
        <w:b/>
      </w:rPr>
    </w:lvl>
    <w:lvl w:ilvl="5">
      <w:start w:val="1"/>
      <w:isLgl/>
      <w:numFmt w:val="decimal"/>
      <w:lvlText w:val="%1.%2.%3.%4.%5.%6."/>
      <w:lvlJc w:val="left"/>
      <w:pPr>
        <w:tabs>
          <w:tab w:val="num" w:pos="0"/>
        </w:tabs>
        <w:ind w:left="2149" w:hanging="1440"/>
      </w:pPr>
      <w:rPr>
        <w:b/>
      </w:rPr>
    </w:lvl>
    <w:lvl w:ilvl="6">
      <w:start w:val="1"/>
      <w:isLgl/>
      <w:numFmt w:val="decimal"/>
      <w:lvlText w:val="%1.%2.%3.%4.%5.%6.%7."/>
      <w:lvlJc w:val="left"/>
      <w:pPr>
        <w:tabs>
          <w:tab w:val="num" w:pos="0"/>
        </w:tabs>
        <w:ind w:left="2149" w:hanging="1440"/>
      </w:pPr>
      <w:rPr>
        <w:b/>
      </w:rPr>
    </w:lvl>
    <w:lvl w:ilvl="7">
      <w:start w:val="1"/>
      <w:isLgl/>
      <w:numFmt w:val="decimal"/>
      <w:lvlText w:val="%1.%2.%3.%4.%5.%6.%7.%8."/>
      <w:lvlJc w:val="left"/>
      <w:pPr>
        <w:tabs>
          <w:tab w:val="num" w:pos="0"/>
        </w:tabs>
        <w:ind w:left="2509" w:hanging="1800"/>
      </w:pPr>
      <w:rPr>
        <w:b/>
      </w:rPr>
    </w:lvl>
    <w:lvl w:ilvl="8">
      <w:start w:val="1"/>
      <w:isLgl/>
      <w:numFmt w:val="decimal"/>
      <w:lvlText w:val="%1.%2.%3.%4.%5.%6.%7.%8.%9."/>
      <w:lvlJc w:val="left"/>
      <w:pPr>
        <w:tabs>
          <w:tab w:val="num" w:pos="0"/>
        </w:tabs>
        <w:ind w:left="2509" w:hanging="1800"/>
      </w:pPr>
      <w:rPr>
        <w:b/>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22dd"/>
    <w:pPr>
      <w:widowControl/>
      <w:suppressAutoHyphens w:val="true"/>
      <w:bidi w:val="0"/>
      <w:spacing w:lineRule="auto" w:line="276" w:before="0" w:after="20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qFormat/>
    <w:rsid w:val="0017016a"/>
    <w:pPr>
      <w:keepNext w:val="true"/>
      <w:spacing w:lineRule="auto" w:line="360" w:before="0" w:after="0"/>
      <w:jc w:val="center"/>
      <w:outlineLvl w:val="0"/>
    </w:pPr>
    <w:rPr>
      <w:rFonts w:ascii="Times New Roman" w:hAnsi="Times New Roman" w:eastAsia="Times New Roman" w:cs="Times New Roman"/>
      <w:b/>
      <w:sz w:val="24"/>
      <w:szCs w:val="20"/>
      <w:lang w:eastAsia="ru-RU"/>
    </w:rPr>
  </w:style>
  <w:style w:type="paragraph" w:styleId="Heading2">
    <w:name w:val="heading 2"/>
    <w:basedOn w:val="user"/>
    <w:next w:val="BodyText"/>
    <w:qFormat/>
    <w:pPr>
      <w:numPr>
        <w:ilvl w:val="1"/>
        <w:numId w:val="1"/>
      </w:numPr>
      <w:spacing w:before="200" w:after="120"/>
      <w:outlineLvl w:val="1"/>
    </w:pPr>
    <w:rPr>
      <w:b/>
      <w:bCs/>
      <w:sz w:val="32"/>
      <w:szCs w:val="32"/>
    </w:rPr>
  </w:style>
  <w:style w:type="paragraph" w:styleId="Heading3">
    <w:name w:val="heading 3"/>
    <w:basedOn w:val="user"/>
    <w:next w:val="BodyText"/>
    <w:qFormat/>
    <w:pPr>
      <w:numPr>
        <w:ilvl w:val="0"/>
        <w:numId w:val="0"/>
      </w:numPr>
      <w:spacing w:before="140" w:after="120"/>
      <w:outlineLvl w:val="2"/>
    </w:pPr>
    <w:rPr>
      <w:rFonts w:ascii="Liberation Serif;Times New Roman" w:hAnsi="Liberation Serif;Times New Roman" w:eastAsia="NSimSun" w:cs="Mangal"/>
      <w:b/>
      <w:bCs/>
      <w:sz w:val="28"/>
      <w:szCs w:val="28"/>
    </w:rPr>
  </w:style>
  <w:style w:type="paragraph" w:styleId="Heading5">
    <w:name w:val="heading 5"/>
    <w:basedOn w:val="Normal"/>
    <w:next w:val="Normal"/>
    <w:link w:val="5"/>
    <w:uiPriority w:val="9"/>
    <w:unhideWhenUsed/>
    <w:qFormat/>
    <w:rsid w:val="008a172d"/>
    <w:pPr>
      <w:keepNext w:val="true"/>
      <w:keepLines/>
      <w:spacing w:lineRule="auto" w:line="240" w:before="200" w:after="0"/>
      <w:outlineLvl w:val="4"/>
    </w:pPr>
    <w:rPr>
      <w:rFonts w:ascii="Arial" w:hAnsi="Arial" w:eastAsia="DejaVu Sans" w:cs="DejaVu Sans" w:asciiTheme="majorHAnsi" w:cstheme="majorBidi" w:eastAsiaTheme="majorEastAsia" w:hAnsiTheme="majorHAnsi"/>
      <w:color w:themeColor="accent1" w:themeShade="7f" w:val="243F60"/>
      <w:sz w:val="24"/>
      <w:szCs w:val="24"/>
      <w:lang w:eastAsia="ru-RU"/>
    </w:rPr>
  </w:style>
  <w:style w:type="character" w:styleId="DefaultParagraphFont" w:default="1">
    <w:name w:val="Default Paragraph Font"/>
    <w:uiPriority w:val="1"/>
    <w:semiHidden/>
    <w:unhideWhenUsed/>
    <w:qFormat/>
    <w:rPr/>
  </w:style>
  <w:style w:type="character" w:styleId="Style10" w:customStyle="1">
    <w:name w:val="Гипертекстовая ссылка"/>
    <w:basedOn w:val="DefaultParagraphFont"/>
    <w:uiPriority w:val="99"/>
    <w:qFormat/>
    <w:rsid w:val="0017016a"/>
    <w:rPr>
      <w:color w:val="106BBE"/>
    </w:rPr>
  </w:style>
  <w:style w:type="character" w:styleId="1" w:customStyle="1">
    <w:name w:val="Заголовок 1 Знак"/>
    <w:basedOn w:val="DefaultParagraphFont"/>
    <w:qFormat/>
    <w:rsid w:val="0017016a"/>
    <w:rPr>
      <w:rFonts w:ascii="Times New Roman" w:hAnsi="Times New Roman" w:eastAsia="Times New Roman" w:cs="Times New Roman"/>
      <w:b/>
      <w:sz w:val="24"/>
      <w:szCs w:val="20"/>
      <w:lang w:eastAsia="ru-RU"/>
    </w:rPr>
  </w:style>
  <w:style w:type="character" w:styleId="Style11" w:customStyle="1">
    <w:name w:val="Текст выноски Знак"/>
    <w:basedOn w:val="DefaultParagraphFont"/>
    <w:link w:val="BalloonText"/>
    <w:uiPriority w:val="99"/>
    <w:semiHidden/>
    <w:qFormat/>
    <w:rsid w:val="0017016a"/>
    <w:rPr>
      <w:rFonts w:ascii="Tahoma" w:hAnsi="Tahoma" w:cs="Tahoma"/>
      <w:sz w:val="16"/>
      <w:szCs w:val="16"/>
    </w:rPr>
  </w:style>
  <w:style w:type="character" w:styleId="Style12" w:customStyle="1">
    <w:name w:val="Цветовое выделение"/>
    <w:uiPriority w:val="99"/>
    <w:qFormat/>
    <w:rsid w:val="005d7f4e"/>
    <w:rPr>
      <w:b/>
      <w:bCs/>
      <w:color w:val="26282F"/>
    </w:rPr>
  </w:style>
  <w:style w:type="character" w:styleId="5" w:customStyle="1">
    <w:name w:val="Заголовок 5 Знак"/>
    <w:basedOn w:val="DefaultParagraphFont"/>
    <w:uiPriority w:val="9"/>
    <w:qFormat/>
    <w:rsid w:val="008a172d"/>
    <w:rPr>
      <w:rFonts w:ascii="Arial" w:hAnsi="Arial" w:eastAsia="DejaVu Sans" w:cs="DejaVu Sans" w:asciiTheme="majorHAnsi" w:cstheme="majorBidi" w:eastAsiaTheme="majorEastAsia" w:hAnsiTheme="majorHAnsi"/>
      <w:color w:themeColor="accent1" w:themeShade="7f" w:val="243F60"/>
      <w:sz w:val="24"/>
      <w:szCs w:val="24"/>
      <w:lang w:eastAsia="ru-RU"/>
    </w:rPr>
  </w:style>
  <w:style w:type="character" w:styleId="Style13" w:customStyle="1">
    <w:name w:val="Верхний колонтитул Знак"/>
    <w:basedOn w:val="DefaultParagraphFont"/>
    <w:uiPriority w:val="99"/>
    <w:qFormat/>
    <w:rsid w:val="003c5c58"/>
    <w:rPr/>
  </w:style>
  <w:style w:type="character" w:styleId="Style14" w:customStyle="1">
    <w:name w:val="Нижний колонтитул Знак"/>
    <w:basedOn w:val="DefaultParagraphFont"/>
    <w:uiPriority w:val="99"/>
    <w:qFormat/>
    <w:rsid w:val="003c5c58"/>
    <w:rPr/>
  </w:style>
  <w:style w:type="character" w:styleId="Hyperlink">
    <w:name w:val="Hyperlink"/>
    <w:basedOn w:val="DefaultParagraphFont"/>
    <w:uiPriority w:val="99"/>
    <w:unhideWhenUsed/>
    <w:rsid w:val="00a43608"/>
    <w:rPr>
      <w:color w:val="0000FF"/>
      <w:u w:val="single"/>
    </w:rPr>
  </w:style>
  <w:style w:type="character" w:styleId="blk" w:customStyle="1">
    <w:name w:val="blk"/>
    <w:basedOn w:val="DefaultParagraphFont"/>
    <w:qFormat/>
    <w:rsid w:val="00494f39"/>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cs="Times New Roman"/>
    </w:rPr>
  </w:style>
  <w:style w:type="character" w:styleId="WW8Num6z0">
    <w:name w:val="WW8Num6z0"/>
    <w:qFormat/>
    <w:rPr/>
  </w:style>
  <w:style w:type="character" w:styleId="Style15">
    <w:name w:val="Основной шрифт абзаца"/>
    <w:qFormat/>
    <w:rPr/>
  </w:style>
  <w:style w:type="character" w:styleId="FontStyle38">
    <w:name w:val="Font Style38"/>
    <w:qFormat/>
    <w:rPr>
      <w:rFonts w:ascii="Times New Roman" w:hAnsi="Times New Roman" w:cs="Times New Roman"/>
      <w:sz w:val="24"/>
      <w:szCs w:val="24"/>
    </w:rPr>
  </w:style>
  <w:style w:type="character" w:styleId="FontStyle44">
    <w:name w:val="Font Style44"/>
    <w:qFormat/>
    <w:rPr>
      <w:rFonts w:ascii="Times New Roman" w:hAnsi="Times New Roman" w:cs="Times New Roman"/>
      <w:sz w:val="24"/>
      <w:szCs w:val="24"/>
    </w:rPr>
  </w:style>
  <w:style w:type="character" w:styleId="Strong">
    <w:name w:val="Strong"/>
    <w:qFormat/>
    <w:rPr>
      <w:b/>
      <w:bCs/>
    </w:rPr>
  </w:style>
  <w:style w:type="character" w:styleId="apple-converted-space">
    <w:name w:val="apple-converted-space"/>
    <w:basedOn w:val="Style15"/>
    <w:qFormat/>
    <w:rPr/>
  </w:style>
  <w:style w:type="character" w:styleId="Style16">
    <w:name w:val="Символ нумерации"/>
    <w:qFormat/>
    <w:rPr>
      <w:rFonts w:ascii="Times New Roman" w:hAnsi="Times New Roman"/>
      <w:sz w:val="24"/>
      <w:szCs w:val="24"/>
    </w:rPr>
  </w:style>
  <w:style w:type="character" w:styleId="Style17">
    <w:name w:val="Символ концевой сноски"/>
    <w:qFormat/>
    <w:rPr>
      <w:vertAlign w:val="superscript"/>
    </w:rPr>
  </w:style>
  <w:style w:type="character" w:styleId="EndnoteReference">
    <w:name w:val="endnote reference"/>
    <w:rPr>
      <w:vertAlign w:val="superscript"/>
    </w:rPr>
  </w:style>
  <w:style w:type="character" w:styleId="FootnoteCharacters">
    <w:name w:val="Footnote Characters"/>
    <w:qFormat/>
    <w:rPr>
      <w:rFonts w:ascii="Times New Roman" w:hAnsi="Times New Roman" w:eastAsia="Times New Roman" w:cs="Times New Roman"/>
      <w:color w:val="000000"/>
      <w:sz w:val="24"/>
      <w:szCs w:val="24"/>
      <w:vertAlign w:val="superscript"/>
    </w:rPr>
  </w:style>
  <w:style w:type="character" w:styleId="Style18">
    <w:name w:val="Символ сноски"/>
    <w:qFormat/>
    <w:rPr>
      <w:vertAlign w:val="superscript"/>
    </w:rPr>
  </w:style>
  <w:style w:type="character" w:styleId="FootnoteReference">
    <w:name w:val="footnote reference"/>
    <w:rPr>
      <w:vertAlign w:val="superscript"/>
    </w:rPr>
  </w:style>
  <w:style w:type="character" w:styleId="Style19">
    <w:name w:val="Текст сноски Знак"/>
    <w:basedOn w:val="DefaultParagraphFont"/>
    <w:qFormat/>
    <w:rPr>
      <w:rFonts w:ascii="Times New Roman" w:hAnsi="Times New Roman" w:eastAsia="Times New Roman" w:cs="Times New Roman"/>
      <w:sz w:val="20"/>
      <w:szCs w:val="20"/>
      <w:lang w:eastAsia="ru-RU"/>
    </w:rPr>
  </w:style>
  <w:style w:type="character" w:styleId="2">
    <w:name w:val="Основной текст с отступом 2 Знак"/>
    <w:basedOn w:val="DefaultParagraphFont"/>
    <w:qFormat/>
    <w:rPr>
      <w:rFonts w:ascii="Times New Roman" w:hAnsi="Times New Roman" w:eastAsia="Times New Roman" w:cs="Times New Roman"/>
      <w:sz w:val="24"/>
      <w:szCs w:val="24"/>
      <w:lang w:eastAsia="ar-SA"/>
    </w:rPr>
  </w:style>
  <w:style w:type="character" w:styleId="Style20">
    <w:name w:val="Основной текст Знак"/>
    <w:basedOn w:val="DefaultParagraphFont"/>
    <w:qFormat/>
    <w:rPr>
      <w:rFonts w:ascii="Times New Roman" w:hAnsi="Times New Roman" w:eastAsia="Times New Roman" w:cs="Times New Roman"/>
      <w:sz w:val="27"/>
      <w:szCs w:val="24"/>
      <w:lang w:eastAsia="ru-RU"/>
    </w:rPr>
  </w:style>
  <w:style w:type="paragraph" w:styleId="Style2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Mangal"/>
      <w:sz w:val="28"/>
      <w:szCs w:val="28"/>
    </w:rPr>
  </w:style>
  <w:style w:type="paragraph" w:styleId="user1">
    <w:name w:val="Указатель (user)"/>
    <w:basedOn w:val="Normal"/>
    <w:qFormat/>
    <w:pPr>
      <w:suppressLineNumbers/>
    </w:pPr>
    <w:rPr>
      <w:rFonts w:cs="Mangal"/>
    </w:rPr>
  </w:style>
  <w:style w:type="paragraph" w:styleId="BalloonText">
    <w:name w:val="Balloon Text"/>
    <w:basedOn w:val="Normal"/>
    <w:link w:val="Style11"/>
    <w:uiPriority w:val="99"/>
    <w:semiHidden/>
    <w:unhideWhenUsed/>
    <w:qFormat/>
    <w:rsid w:val="0017016a"/>
    <w:pPr>
      <w:spacing w:lineRule="auto" w:line="240" w:before="0" w:after="0"/>
    </w:pPr>
    <w:rPr>
      <w:rFonts w:ascii="Tahoma" w:hAnsi="Tahoma" w:cs="Tahoma"/>
      <w:sz w:val="16"/>
      <w:szCs w:val="16"/>
    </w:rPr>
  </w:style>
  <w:style w:type="paragraph" w:styleId="ListParagraph">
    <w:name w:val="List Paragraph"/>
    <w:basedOn w:val="Normal"/>
    <w:uiPriority w:val="34"/>
    <w:qFormat/>
    <w:rsid w:val="005d7f4e"/>
    <w:pPr>
      <w:spacing w:before="0" w:after="200"/>
      <w:ind w:left="720"/>
      <w:contextualSpacing/>
    </w:pPr>
    <w:rPr/>
  </w:style>
  <w:style w:type="paragraph" w:styleId="Style23" w:customStyle="1">
    <w:name w:val="Заголовок статьи"/>
    <w:basedOn w:val="Normal"/>
    <w:next w:val="Normal"/>
    <w:uiPriority w:val="99"/>
    <w:qFormat/>
    <w:rsid w:val="005d7f4e"/>
    <w:pPr>
      <w:spacing w:lineRule="auto" w:line="240" w:before="0" w:after="0"/>
      <w:ind w:hanging="892" w:left="1612"/>
      <w:jc w:val="both"/>
    </w:pPr>
    <w:rPr>
      <w:rFonts w:ascii="Arial" w:hAnsi="Arial" w:cs="Arial"/>
      <w:sz w:val="24"/>
      <w:szCs w:val="24"/>
    </w:rPr>
  </w:style>
  <w:style w:type="paragraph" w:styleId="Style24" w:customStyle="1">
    <w:name w:val="Информация об изменениях"/>
    <w:basedOn w:val="Normal"/>
    <w:next w:val="Normal"/>
    <w:uiPriority w:val="99"/>
    <w:qFormat/>
    <w:rsid w:val="002f3d25"/>
    <w:pPr>
      <w:widowControl w:val="false"/>
      <w:spacing w:lineRule="auto" w:line="240" w:before="180" w:after="0"/>
      <w:ind w:left="360" w:right="360"/>
      <w:jc w:val="both"/>
    </w:pPr>
    <w:rPr>
      <w:rFonts w:ascii="Arial" w:hAnsi="Arial" w:eastAsia="DejaVu Sans" w:cs="Arial" w:eastAsiaTheme="minorEastAsia"/>
      <w:color w:val="353842"/>
      <w:sz w:val="18"/>
      <w:szCs w:val="18"/>
      <w:shd w:fill="EAEFED" w:val="clear"/>
      <w:lang w:eastAsia="ru-RU"/>
    </w:rPr>
  </w:style>
  <w:style w:type="paragraph" w:styleId="Style25" w:customStyle="1">
    <w:name w:val="Комментарий"/>
    <w:basedOn w:val="Normal"/>
    <w:next w:val="Normal"/>
    <w:uiPriority w:val="99"/>
    <w:qFormat/>
    <w:rsid w:val="00592a48"/>
    <w:pPr>
      <w:spacing w:lineRule="auto" w:line="240" w:before="75" w:after="0"/>
      <w:ind w:left="170"/>
      <w:jc w:val="both"/>
    </w:pPr>
    <w:rPr>
      <w:rFonts w:ascii="Arial" w:hAnsi="Arial" w:cs="Arial"/>
      <w:color w:val="353842"/>
      <w:sz w:val="24"/>
      <w:szCs w:val="24"/>
      <w:shd w:fill="F0F0F0" w:val="clear"/>
    </w:rPr>
  </w:style>
  <w:style w:type="paragraph" w:styleId="ConsTitle" w:customStyle="1">
    <w:name w:val="ConsTitle"/>
    <w:qFormat/>
    <w:rsid w:val="008a172d"/>
    <w:pPr>
      <w:widowControl w:val="false"/>
      <w:suppressAutoHyphens w:val="true"/>
      <w:bidi w:val="0"/>
      <w:spacing w:lineRule="auto" w:line="240" w:before="0" w:after="0"/>
      <w:ind w:right="19772"/>
      <w:jc w:val="left"/>
    </w:pPr>
    <w:rPr>
      <w:rFonts w:ascii="Arial" w:hAnsi="Arial" w:eastAsia="Times New Roman" w:cs="Arial"/>
      <w:b/>
      <w:bCs/>
      <w:color w:val="auto"/>
      <w:kern w:val="0"/>
      <w:sz w:val="16"/>
      <w:szCs w:val="16"/>
      <w:lang w:val="ru-RU" w:eastAsia="en-US" w:bidi="ar-SA"/>
    </w:rPr>
  </w:style>
  <w:style w:type="paragraph" w:styleId="ConsNormal" w:customStyle="1">
    <w:name w:val="ConsNormal"/>
    <w:qFormat/>
    <w:rsid w:val="008a172d"/>
    <w:pPr>
      <w:widowControl w:val="false"/>
      <w:suppressAutoHyphens w:val="true"/>
      <w:bidi w:val="0"/>
      <w:spacing w:lineRule="auto" w:line="240" w:before="0" w:after="0"/>
      <w:ind w:firstLine="720" w:right="19772"/>
      <w:jc w:val="left"/>
    </w:pPr>
    <w:rPr>
      <w:rFonts w:ascii="Arial" w:hAnsi="Arial" w:eastAsia="Times New Roman" w:cs="Arial"/>
      <w:color w:val="auto"/>
      <w:kern w:val="0"/>
      <w:sz w:val="20"/>
      <w:szCs w:val="20"/>
      <w:lang w:val="ru-RU" w:eastAsia="ru-RU" w:bidi="ar-SA"/>
    </w:rPr>
  </w:style>
  <w:style w:type="paragraph" w:styleId="Style26" w:customStyle="1">
    <w:name w:val="Прижатый влево"/>
    <w:basedOn w:val="Normal"/>
    <w:next w:val="Normal"/>
    <w:uiPriority w:val="99"/>
    <w:qFormat/>
    <w:rsid w:val="00435ddf"/>
    <w:pPr>
      <w:spacing w:lineRule="auto" w:line="240" w:before="0" w:after="0"/>
    </w:pPr>
    <w:rPr>
      <w:rFonts w:ascii="Arial" w:hAnsi="Arial" w:cs="Arial"/>
      <w:sz w:val="24"/>
      <w:szCs w:val="24"/>
    </w:rPr>
  </w:style>
  <w:style w:type="paragraph" w:styleId="Style27">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3"/>
    <w:uiPriority w:val="99"/>
    <w:unhideWhenUsed/>
    <w:rsid w:val="003c5c58"/>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3c5c58"/>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811fc3"/>
    <w:pPr>
      <w:widowControl w:val="false"/>
      <w:suppressAutoHyphens w:val="true"/>
      <w:bidi w:val="0"/>
      <w:spacing w:lineRule="auto" w:line="240" w:before="0" w:after="0"/>
      <w:jc w:val="left"/>
    </w:pPr>
    <w:rPr>
      <w:rFonts w:ascii="Arial" w:hAnsi="Arial" w:eastAsia="DejaVu Sans" w:cs="Arial" w:eastAsiaTheme="minorEastAsia"/>
      <w:color w:val="auto"/>
      <w:kern w:val="0"/>
      <w:sz w:val="20"/>
      <w:szCs w:val="20"/>
      <w:lang w:val="ru-RU" w:eastAsia="ru-RU" w:bidi="ar-SA"/>
    </w:rPr>
  </w:style>
  <w:style w:type="paragraph" w:styleId="NoSpacing">
    <w:name w:val="No Spacing"/>
    <w:uiPriority w:val="1"/>
    <w:qFormat/>
    <w:rsid w:val="009754c5"/>
    <w:pPr>
      <w:widowControl/>
      <w:suppressAutoHyphens w:val="true"/>
      <w:bidi w:val="0"/>
      <w:spacing w:lineRule="auto" w:line="240"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ConsPlusNonformat" w:customStyle="1">
    <w:name w:val="ConsPlusNonformat"/>
    <w:qFormat/>
    <w:rsid w:val="0013401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8" w:customStyle="1">
    <w:name w:val="Таблицы (моноширинный)"/>
    <w:basedOn w:val="Normal"/>
    <w:next w:val="Normal"/>
    <w:qFormat/>
    <w:rsid w:val="001022c3"/>
    <w:pPr>
      <w:widowControl w:val="false"/>
      <w:spacing w:lineRule="auto" w:line="240" w:before="0" w:after="0"/>
      <w:jc w:val="both"/>
    </w:pPr>
    <w:rPr>
      <w:rFonts w:ascii="Courier New" w:hAnsi="Courier New" w:eastAsia="Times New Roman" w:cs="Courier New"/>
      <w:sz w:val="24"/>
      <w:szCs w:val="24"/>
      <w:lang w:eastAsia="ru-RU"/>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paragraph" w:styleId="Caption2">
    <w:name w:val="Caption2"/>
    <w:basedOn w:val="Normal"/>
    <w:qFormat/>
    <w:pPr>
      <w:suppressLineNumbers/>
      <w:spacing w:before="120" w:after="120"/>
    </w:pPr>
    <w:rPr>
      <w:rFonts w:cs="Mangal"/>
      <w:i/>
      <w:iCs/>
      <w:sz w:val="24"/>
      <w:szCs w:val="24"/>
    </w:rPr>
  </w:style>
  <w:style w:type="paragraph" w:styleId="Caption1">
    <w:name w:val="Caption1"/>
    <w:basedOn w:val="Normal"/>
    <w:qFormat/>
    <w:pPr>
      <w:suppressLineNumbers/>
      <w:spacing w:before="120" w:after="120"/>
    </w:pPr>
    <w:rPr>
      <w:rFonts w:cs="Mangal"/>
      <w:i/>
      <w:iCs/>
      <w:sz w:val="24"/>
      <w:szCs w:val="24"/>
    </w:rPr>
  </w:style>
  <w:style w:type="paragraph" w:styleId="Caption11">
    <w:name w:val="Caption11"/>
    <w:basedOn w:val="Normal"/>
    <w:qFormat/>
    <w:pPr>
      <w:suppressLineNumbers/>
      <w:spacing w:before="120" w:after="120"/>
    </w:pPr>
    <w:rPr>
      <w:rFonts w:cs="Mangal"/>
      <w:i/>
      <w:iCs/>
      <w:sz w:val="24"/>
      <w:szCs w:val="24"/>
    </w:rPr>
  </w:style>
  <w:style w:type="paragraph" w:styleId="Style29">
    <w:name w:val="Текст выноски"/>
    <w:basedOn w:val="Normal"/>
    <w:qFormat/>
    <w:pPr/>
    <w:rPr>
      <w:rFonts w:ascii="Tahoma" w:hAnsi="Tahoma" w:cs="Tahoma"/>
      <w:sz w:val="16"/>
      <w:szCs w:val="16"/>
      <w:lang w:val="ru-RU"/>
    </w:rPr>
  </w:style>
  <w:style w:type="paragraph" w:styleId="Style41">
    <w:name w:val="Style4"/>
    <w:basedOn w:val="Normal"/>
    <w:qFormat/>
    <w:pPr>
      <w:widowControl w:val="false"/>
      <w:spacing w:lineRule="exact" w:line="296"/>
      <w:ind w:firstLine="710" w:left="0" w:right="0"/>
      <w:jc w:val="both"/>
    </w:pPr>
    <w:rPr/>
  </w:style>
  <w:style w:type="paragraph" w:styleId="Style191">
    <w:name w:val="Style19"/>
    <w:basedOn w:val="Normal"/>
    <w:qFormat/>
    <w:pPr>
      <w:widowControl w:val="false"/>
      <w:spacing w:lineRule="exact" w:line="319"/>
      <w:jc w:val="both"/>
    </w:pPr>
    <w:rPr/>
  </w:style>
  <w:style w:type="paragraph" w:styleId="Style30">
    <w:name w:val="Знак"/>
    <w:basedOn w:val="Normal"/>
    <w:qFormat/>
    <w:pPr/>
    <w:rPr>
      <w:rFonts w:ascii="Verdana" w:hAnsi="Verdana" w:cs="Verdana"/>
      <w:sz w:val="20"/>
      <w:szCs w:val="20"/>
      <w:lang w:val="en-US"/>
    </w:rPr>
  </w:style>
  <w:style w:type="paragraph" w:styleId="Style31">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FootnoteText">
    <w:name w:val="footnote text"/>
    <w:basedOn w:val="Normal"/>
    <w:pPr>
      <w:suppressAutoHyphens w:val="false"/>
    </w:pPr>
    <w:rPr>
      <w:sz w:val="20"/>
      <w:szCs w:val="20"/>
      <w:lang w:eastAsia="ru-RU"/>
    </w:rPr>
  </w:style>
  <w:style w:type="paragraph" w:styleId="ConsPlusTitle">
    <w:name w:val="ConsPlusTitle"/>
    <w:qFormat/>
    <w:pPr>
      <w:widowControl w:val="false"/>
      <w:suppressAutoHyphens w:val="true"/>
      <w:bidi w:val="0"/>
      <w:spacing w:lineRule="auto" w:line="240" w:before="0" w:after="0"/>
      <w:jc w:val="left"/>
    </w:pPr>
    <w:rPr>
      <w:rFonts w:ascii="Arial" w:hAnsi="Arial" w:eastAsia="Times New Roman" w:cs="Calibri"/>
      <w:b/>
      <w:color w:val="auto"/>
      <w:kern w:val="0"/>
      <w:sz w:val="22"/>
      <w:szCs w:val="20"/>
      <w:lang w:val="ru-RU" w:eastAsia="ru-RU" w:bidi="ar-SA"/>
    </w:rPr>
  </w:style>
  <w:style w:type="paragraph" w:styleId="BodyTextIndent2">
    <w:name w:val="Body Text Indent 2"/>
    <w:basedOn w:val="Normal"/>
    <w:qFormat/>
    <w:pPr>
      <w:spacing w:lineRule="auto" w:line="480" w:before="0" w:after="120"/>
      <w:ind w:hanging="0" w:left="283"/>
    </w:pPr>
    <w:rPr/>
  </w:style>
  <w:style w:type="paragraph" w:styleId="11">
    <w:name w:val="Текст1"/>
    <w:basedOn w:val="Normal"/>
    <w:qFormat/>
    <w:pPr>
      <w:widowControl/>
    </w:pPr>
    <w:rPr>
      <w:rFonts w:ascii="Courier New" w:hAnsi="Courier New" w:eastAsia="Times New Roman" w:cs="Courier New"/>
      <w:kern w:val="0"/>
      <w:sz w:val="20"/>
      <w:szCs w:val="20"/>
      <w:lang w:eastAsia="ar-SA" w:bidi="ar-SA"/>
    </w:rPr>
  </w:style>
  <w:style w:type="numbering" w:styleId="Style32" w:default="1">
    <w:name w:val="Без списка"/>
    <w:uiPriority w:val="99"/>
    <w:semiHidden/>
    <w:unhideWhenUsed/>
    <w:qFormat/>
  </w:style>
  <w:style w:type="numbering" w:styleId="WW8Num1">
    <w:name w:val="WW8Num1"/>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dumakrur.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42B7-B02E-43DC-9CD2-804A5EDC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Application>LibreOffice/24.8.7.2$Windows_X86_64 LibreOffice_project/e07d0a63a46349d29051da79b1fde8160bab2a89</Application>
  <AppVersion>15.0000</AppVersion>
  <Pages>3</Pages>
  <Words>741</Words>
  <Characters>4971</Characters>
  <CharactersWithSpaces>5898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2020-11-05T03:56:00Z</dcterms:created>
  <dc:creator>admin</dc:creator>
  <dc:description/>
  <dc:language>ru-RU</dc:language>
  <cp:lastModifiedBy/>
  <cp:lastPrinted>2025-05-29T14:10:03Z</cp:lastPrinted>
  <dcterms:modified xsi:type="dcterms:W3CDTF">2025-05-29T14:09:57Z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